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DC8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right="119"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2025年度江夏区“揭榜挂帅”项目榜单</w:t>
      </w:r>
    </w:p>
    <w:tbl>
      <w:tblPr>
        <w:tblStyle w:val="11"/>
        <w:tblW w:w="14356"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28"/>
        <w:gridCol w:w="1256"/>
        <w:gridCol w:w="1500"/>
        <w:gridCol w:w="2776"/>
        <w:gridCol w:w="94"/>
        <w:gridCol w:w="2887"/>
        <w:gridCol w:w="4321"/>
      </w:tblGrid>
      <w:tr w14:paraId="48DF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94" w:type="dxa"/>
            <w:vAlign w:val="center"/>
          </w:tcPr>
          <w:p w14:paraId="60B45A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序号</w:t>
            </w:r>
          </w:p>
        </w:tc>
        <w:tc>
          <w:tcPr>
            <w:tcW w:w="928" w:type="dxa"/>
            <w:vAlign w:val="center"/>
          </w:tcPr>
          <w:p w14:paraId="5625FF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b w:val="0"/>
                <w:bCs w:val="0"/>
                <w:i w:val="0"/>
                <w:iCs w:val="0"/>
                <w:color w:val="auto"/>
                <w:kern w:val="0"/>
                <w:sz w:val="21"/>
                <w:szCs w:val="21"/>
                <w:u w:val="none"/>
                <w:lang w:val="en-US" w:eastAsia="zh-CN" w:bidi="ar"/>
              </w:rPr>
            </w:pPr>
            <w:r>
              <w:rPr>
                <w:rFonts w:hint="eastAsia" w:ascii="黑体" w:hAnsi="宋体" w:eastAsia="黑体" w:cs="黑体"/>
                <w:b w:val="0"/>
                <w:bCs w:val="0"/>
                <w:i w:val="0"/>
                <w:iCs w:val="0"/>
                <w:color w:val="auto"/>
                <w:kern w:val="0"/>
                <w:sz w:val="21"/>
                <w:szCs w:val="21"/>
                <w:u w:val="none"/>
                <w:lang w:val="en-US" w:eastAsia="zh-CN" w:bidi="ar"/>
              </w:rPr>
              <w:t>企业</w:t>
            </w:r>
          </w:p>
          <w:p w14:paraId="44133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名称</w:t>
            </w:r>
          </w:p>
        </w:tc>
        <w:tc>
          <w:tcPr>
            <w:tcW w:w="1256" w:type="dxa"/>
            <w:vAlign w:val="center"/>
          </w:tcPr>
          <w:p w14:paraId="2DAB9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发榜金额（万元）</w:t>
            </w:r>
          </w:p>
        </w:tc>
        <w:tc>
          <w:tcPr>
            <w:tcW w:w="1500" w:type="dxa"/>
            <w:vAlign w:val="center"/>
          </w:tcPr>
          <w:p w14:paraId="77A48E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b w:val="0"/>
                <w:bCs w:val="0"/>
                <w:i w:val="0"/>
                <w:iCs w:val="0"/>
                <w:color w:val="auto"/>
                <w:kern w:val="0"/>
                <w:sz w:val="21"/>
                <w:szCs w:val="21"/>
                <w:u w:val="none"/>
                <w:lang w:val="en-US" w:eastAsia="zh-CN" w:bidi="ar"/>
              </w:rPr>
            </w:pPr>
            <w:r>
              <w:rPr>
                <w:rFonts w:hint="eastAsia" w:ascii="黑体" w:hAnsi="宋体" w:eastAsia="黑体" w:cs="黑体"/>
                <w:b w:val="0"/>
                <w:bCs w:val="0"/>
                <w:i w:val="0"/>
                <w:iCs w:val="0"/>
                <w:color w:val="auto"/>
                <w:kern w:val="0"/>
                <w:sz w:val="21"/>
                <w:szCs w:val="21"/>
                <w:u w:val="none"/>
                <w:lang w:val="en-US" w:eastAsia="zh-CN" w:bidi="ar"/>
              </w:rPr>
              <w:t>技术需求</w:t>
            </w:r>
          </w:p>
          <w:p w14:paraId="0D70E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名称</w:t>
            </w:r>
          </w:p>
        </w:tc>
        <w:tc>
          <w:tcPr>
            <w:tcW w:w="2870" w:type="dxa"/>
            <w:gridSpan w:val="2"/>
            <w:vAlign w:val="center"/>
          </w:tcPr>
          <w:p w14:paraId="5C76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b w:val="0"/>
                <w:bCs w:val="0"/>
                <w:i w:val="0"/>
                <w:iCs w:val="0"/>
                <w:color w:val="auto"/>
                <w:kern w:val="0"/>
                <w:sz w:val="21"/>
                <w:szCs w:val="21"/>
                <w:u w:val="none"/>
                <w:lang w:val="en-US" w:eastAsia="zh-CN" w:bidi="ar"/>
              </w:rPr>
            </w:pPr>
            <w:r>
              <w:rPr>
                <w:rFonts w:hint="eastAsia" w:ascii="黑体" w:hAnsi="宋体" w:eastAsia="黑体" w:cs="黑体"/>
                <w:b w:val="0"/>
                <w:bCs w:val="0"/>
                <w:i w:val="0"/>
                <w:iCs w:val="0"/>
                <w:color w:val="auto"/>
                <w:kern w:val="0"/>
                <w:sz w:val="21"/>
                <w:szCs w:val="21"/>
                <w:u w:val="none"/>
                <w:lang w:val="en-US" w:eastAsia="zh-CN" w:bidi="ar"/>
              </w:rPr>
              <w:t>项目需求背景</w:t>
            </w:r>
          </w:p>
        </w:tc>
        <w:tc>
          <w:tcPr>
            <w:tcW w:w="2887" w:type="dxa"/>
            <w:vAlign w:val="center"/>
          </w:tcPr>
          <w:p w14:paraId="2B94CF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研究内容</w:t>
            </w:r>
          </w:p>
        </w:tc>
        <w:tc>
          <w:tcPr>
            <w:tcW w:w="4321" w:type="dxa"/>
            <w:vAlign w:val="center"/>
          </w:tcPr>
          <w:p w14:paraId="53369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b w:val="0"/>
                <w:bCs w:val="0"/>
                <w:color w:val="auto"/>
                <w:sz w:val="21"/>
                <w:szCs w:val="21"/>
                <w:vertAlign w:val="baseline"/>
                <w:lang w:val="en-US" w:eastAsia="zh-CN"/>
              </w:rPr>
            </w:pPr>
            <w:r>
              <w:rPr>
                <w:rFonts w:hint="eastAsia" w:ascii="黑体" w:hAnsi="宋体" w:eastAsia="黑体" w:cs="黑体"/>
                <w:b w:val="0"/>
                <w:bCs w:val="0"/>
                <w:i w:val="0"/>
                <w:iCs w:val="0"/>
                <w:color w:val="auto"/>
                <w:kern w:val="0"/>
                <w:sz w:val="21"/>
                <w:szCs w:val="21"/>
                <w:u w:val="none"/>
                <w:lang w:val="en-US" w:eastAsia="zh-CN" w:bidi="ar"/>
              </w:rPr>
              <w:t>技术指标</w:t>
            </w:r>
          </w:p>
        </w:tc>
      </w:tr>
      <w:tr w14:paraId="6C90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356" w:type="dxa"/>
            <w:gridSpan w:val="8"/>
            <w:vAlign w:val="center"/>
          </w:tcPr>
          <w:p w14:paraId="2E6226D5">
            <w:pPr>
              <w:bidi w:val="0"/>
              <w:ind w:left="0" w:leftChars="0" w:firstLine="0" w:firstLineChars="0"/>
              <w:jc w:val="center"/>
              <w:rPr>
                <w:rFonts w:hint="eastAsia" w:ascii="仿宋" w:hAnsi="仿宋" w:eastAsia="仿宋" w:cs="仿宋"/>
                <w:i w:val="0"/>
                <w:iCs w:val="0"/>
                <w:color w:val="000000"/>
                <w:kern w:val="0"/>
                <w:szCs w:val="21"/>
                <w:u w:val="none"/>
                <w:lang w:val="en-US" w:eastAsia="zh-CN" w:bidi="ar"/>
              </w:rPr>
            </w:pPr>
            <w:r>
              <w:rPr>
                <w:rFonts w:hint="eastAsia" w:ascii="仿宋" w:hAnsi="仿宋" w:eastAsia="仿宋" w:cs="仿宋"/>
                <w:b/>
                <w:bCs/>
                <w:sz w:val="24"/>
                <w:szCs w:val="21"/>
                <w:lang w:val="en-US" w:eastAsia="zh-CN"/>
              </w:rPr>
              <w:t>成果转化类项目（3个）</w:t>
            </w:r>
          </w:p>
        </w:tc>
      </w:tr>
      <w:tr w14:paraId="6F6C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atLeast"/>
        </w:trPr>
        <w:tc>
          <w:tcPr>
            <w:tcW w:w="594" w:type="dxa"/>
            <w:vAlign w:val="center"/>
          </w:tcPr>
          <w:p w14:paraId="1A48D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1</w:t>
            </w:r>
          </w:p>
        </w:tc>
        <w:tc>
          <w:tcPr>
            <w:tcW w:w="928" w:type="dxa"/>
            <w:vAlign w:val="center"/>
          </w:tcPr>
          <w:p w14:paraId="0CA743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武汉大全能源技术股份有限公司</w:t>
            </w:r>
          </w:p>
        </w:tc>
        <w:tc>
          <w:tcPr>
            <w:tcW w:w="1256" w:type="dxa"/>
            <w:vAlign w:val="center"/>
          </w:tcPr>
          <w:p w14:paraId="33CDE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250</w:t>
            </w:r>
          </w:p>
        </w:tc>
        <w:tc>
          <w:tcPr>
            <w:tcW w:w="1500" w:type="dxa"/>
            <w:vAlign w:val="center"/>
          </w:tcPr>
          <w:p w14:paraId="38DA4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新能源船舶集成式变配电装置</w:t>
            </w:r>
          </w:p>
        </w:tc>
        <w:tc>
          <w:tcPr>
            <w:tcW w:w="2776" w:type="dxa"/>
            <w:vAlign w:val="center"/>
          </w:tcPr>
          <w:p w14:paraId="68EF7D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目前新能源船舶能源动力来源主要有燃料（柴油、甲醇、氨等）发电机、锂电池、光伏板等，采用电力推进系统，集成式变配电装置将直流配电、交流配电、推进变频器、DC/AC逆变器、功率管理系统PMS等功能设备综合为一体，将锂电池直接输出的直流电分配、变换为推进电机所需的变频变压交流电，以及日常用电设备所需的恒频恒压交流电，直接向全船推进电机、日常用电设备供电。</w:t>
            </w:r>
          </w:p>
          <w:p w14:paraId="35899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集成式变配电装置集成了综合电力推进系统中配电、调速及保护功能，其技术优势能够确保多种能源在船舶动力系统的高效利用并可靠稳定。</w:t>
            </w:r>
          </w:p>
        </w:tc>
        <w:tc>
          <w:tcPr>
            <w:tcW w:w="2981" w:type="dxa"/>
            <w:gridSpan w:val="2"/>
            <w:vAlign w:val="center"/>
          </w:tcPr>
          <w:p w14:paraId="0D6898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1.交直流电网协调控制技术，通过能量管理系统协调控制，确保电网的稳定性；</w:t>
            </w:r>
          </w:p>
          <w:p w14:paraId="7940ED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2.推进变频器高精度速度/转矩控制；</w:t>
            </w:r>
          </w:p>
          <w:p w14:paraId="602FC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3.推进变频器电机参数在线辨识与控制参数自适应调整；</w:t>
            </w:r>
          </w:p>
          <w:p w14:paraId="64F32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4.船用功率模块环境适应性与电磁兼容性；</w:t>
            </w:r>
          </w:p>
          <w:p w14:paraId="374E5D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5.DC/AC逆变器虚拟同步发电机（VSG）功能；</w:t>
            </w:r>
          </w:p>
          <w:p w14:paraId="380BED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6.DC/AC逆变器多机并联协调性控制；</w:t>
            </w:r>
          </w:p>
          <w:p w14:paraId="12FEC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7.船用功率模块故障诊断与保护功能。</w:t>
            </w:r>
          </w:p>
        </w:tc>
        <w:tc>
          <w:tcPr>
            <w:tcW w:w="4321" w:type="dxa"/>
            <w:vAlign w:val="center"/>
          </w:tcPr>
          <w:p w14:paraId="0C06F8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推进变频器调速范围0~110%额定转速，调速精度±0.1%，转矩响应时间≤5ms，速度响应时间≤150ms，速度响应超调量≤5%，效率≥97%。</w:t>
            </w:r>
          </w:p>
          <w:p w14:paraId="3A80A6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DC/AC逆变器额定输出电压3AC390V/50Hz，输出电压整定范围+6%~-10%，输出电压稳态调整率≤-2%（满载）~+2%（空载），输出电压瞬态变化率（空载-50%-100%-空载）≤±20%（恢复时间≤0.2s，±2%允差带），输出频率稳态调整率≤±1%，输出频率瞬态变化率（空载-50%-100%-空载）≤±1.5%（恢复时间≤0.2s，±1%允差带），输出最大电压波形偏移≤5%，输出电压总谐波畸变率≤5%，允许2倍额定输出电流持续0.5s，效率≥97%。</w:t>
            </w:r>
          </w:p>
        </w:tc>
      </w:tr>
      <w:tr w14:paraId="21D6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594" w:type="dxa"/>
            <w:vAlign w:val="center"/>
          </w:tcPr>
          <w:p w14:paraId="2456B6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2</w:t>
            </w:r>
          </w:p>
        </w:tc>
        <w:tc>
          <w:tcPr>
            <w:tcW w:w="928" w:type="dxa"/>
            <w:vAlign w:val="center"/>
          </w:tcPr>
          <w:p w14:paraId="541DD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湖北汉瑞景汽车智能系统有限公司</w:t>
            </w:r>
          </w:p>
        </w:tc>
        <w:tc>
          <w:tcPr>
            <w:tcW w:w="1256" w:type="dxa"/>
            <w:vAlign w:val="center"/>
          </w:tcPr>
          <w:p w14:paraId="47DAB8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120</w:t>
            </w:r>
          </w:p>
        </w:tc>
        <w:tc>
          <w:tcPr>
            <w:tcW w:w="1500" w:type="dxa"/>
            <w:vAlign w:val="center"/>
          </w:tcPr>
          <w:p w14:paraId="12451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绿色零碳智慧高速动态无线充电关键技术攻关及示范应用</w:t>
            </w:r>
          </w:p>
        </w:tc>
        <w:tc>
          <w:tcPr>
            <w:tcW w:w="2776" w:type="dxa"/>
            <w:vAlign w:val="center"/>
          </w:tcPr>
          <w:p w14:paraId="316803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在“双碳战略”与智慧交通发展背景下，电动智能驾驶车辆面临续航受限、补能效率低的问题。传统“停桩充电”模式制约行业发展，同时绿色电力利用与电网负荷平衡也存在挑战，亟需系统性方案破解这些行业瓶颈。</w:t>
            </w:r>
          </w:p>
        </w:tc>
        <w:tc>
          <w:tcPr>
            <w:tcW w:w="2981" w:type="dxa"/>
            <w:gridSpan w:val="2"/>
            <w:vAlign w:val="center"/>
          </w:tcPr>
          <w:p w14:paraId="6CC5E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研究 “光伏+储能+无线充电+车路协同” 综合系统，通过构建高速公路智慧能源微网，实现绿电本地消纳，降低电网负荷；通过应用车-路-云协同控制与动态补能技术，支撑电动车辆边跑边补，突破传统 “停桩充电” 限制。</w:t>
            </w:r>
          </w:p>
        </w:tc>
        <w:tc>
          <w:tcPr>
            <w:tcW w:w="4321" w:type="dxa"/>
            <w:vAlign w:val="center"/>
          </w:tcPr>
          <w:p w14:paraId="3056C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引入钙钛矿技术构建自循环微电网建设100米不依赖市电的高速公路光储动态智慧补能示范路。光伏储能系统最大功率≥40KW，支持2辆及以上车辆接入，单车充电功率10-20kW，无线充电距离＞10CM，车辆识别与能量分配响应时间≤100ms。</w:t>
            </w:r>
          </w:p>
        </w:tc>
      </w:tr>
      <w:tr w14:paraId="38B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594" w:type="dxa"/>
            <w:vAlign w:val="center"/>
          </w:tcPr>
          <w:p w14:paraId="65349013">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3</w:t>
            </w:r>
          </w:p>
        </w:tc>
        <w:tc>
          <w:tcPr>
            <w:tcW w:w="928" w:type="dxa"/>
            <w:vAlign w:val="center"/>
          </w:tcPr>
          <w:p w14:paraId="356A8E78">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武汉雷神特种器材有限公司</w:t>
            </w:r>
          </w:p>
        </w:tc>
        <w:tc>
          <w:tcPr>
            <w:tcW w:w="1256" w:type="dxa"/>
            <w:vAlign w:val="center"/>
          </w:tcPr>
          <w:p w14:paraId="5BD69E4C">
            <w:pPr>
              <w:keepNext w:val="0"/>
              <w:keepLines w:val="0"/>
              <w:widowControl/>
              <w:suppressLineNumbers w:val="0"/>
              <w:ind w:left="0" w:leftChars="0" w:firstLine="0" w:firstLineChars="0"/>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200</w:t>
            </w:r>
          </w:p>
        </w:tc>
        <w:tc>
          <w:tcPr>
            <w:tcW w:w="1500" w:type="dxa"/>
            <w:vAlign w:val="center"/>
          </w:tcPr>
          <w:p w14:paraId="7A338378">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 xml:space="preserve">库坝系统爆炸毁伤数字孪生与场景推演关键技术 </w:t>
            </w:r>
          </w:p>
        </w:tc>
        <w:tc>
          <w:tcPr>
            <w:tcW w:w="2776" w:type="dxa"/>
            <w:vAlign w:val="center"/>
          </w:tcPr>
          <w:p w14:paraId="197AA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中国作为水利大国和大坝大国，拥有世界上数量最多、规模最大的大坝工程。这些大坝在防洪、发电、灌溉、供水等方面发挥了重要作用，但大坝一旦失事，将给国家和人民带来巨大的灾难和损失，后果不堪设想。评估大坝抗爆性能是确保大坝安全运行和应对潜在威胁的重要环节，具有深远的现实意义和战略价值。</w:t>
            </w:r>
          </w:p>
        </w:tc>
        <w:tc>
          <w:tcPr>
            <w:tcW w:w="2981" w:type="dxa"/>
            <w:gridSpan w:val="2"/>
            <w:vAlign w:val="center"/>
          </w:tcPr>
          <w:p w14:paraId="2E64A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该项目结合水库大坝原型、缩比模型、有限元仿真、实爆试验、人工智能算法等构建库坝安全大模型，利用数字孪生、CFD/CSD仿真、AI算法等单项技术，通过数值模拟、深度学习和大模型分析，帮助用户理解库坝系统的脆弱性，评估潜在风险，并制定应对策略，提升重大水利基础设施的极端反恐防灾能力和应急响应决策效率。</w:t>
            </w:r>
          </w:p>
        </w:tc>
        <w:tc>
          <w:tcPr>
            <w:tcW w:w="4321" w:type="dxa"/>
            <w:vAlign w:val="center"/>
          </w:tcPr>
          <w:p w14:paraId="131ED6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1.多维度数据融合与建模精度：建模精度与实体偏差＜5%；</w:t>
            </w:r>
          </w:p>
          <w:p w14:paraId="5A1EFA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2.动态数据精度：关键传感器数据同步频率达到毫秒至秒级；</w:t>
            </w:r>
          </w:p>
          <w:p w14:paraId="53019B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3.毁伤进程预测：溃口预测最终形态参数误差不大于15%；</w:t>
            </w:r>
          </w:p>
          <w:p w14:paraId="357506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4.仿真计算效率：毁伤评估与后果预测，时间不大于5分钟；</w:t>
            </w:r>
          </w:p>
          <w:p w14:paraId="434E63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5.预警延迟：延迟不大于30秒；</w:t>
            </w:r>
          </w:p>
          <w:p w14:paraId="054991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6.决策推演方案：≥3套。</w:t>
            </w:r>
          </w:p>
        </w:tc>
      </w:tr>
      <w:tr w14:paraId="367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356" w:type="dxa"/>
            <w:gridSpan w:val="8"/>
            <w:vAlign w:val="center"/>
          </w:tcPr>
          <w:p w14:paraId="13B6D369">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重点研发计划类项目（6个）</w:t>
            </w:r>
          </w:p>
        </w:tc>
      </w:tr>
      <w:tr w14:paraId="3626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94" w:type="dxa"/>
            <w:vAlign w:val="center"/>
          </w:tcPr>
          <w:p w14:paraId="4C0E239F">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4</w:t>
            </w:r>
          </w:p>
        </w:tc>
        <w:tc>
          <w:tcPr>
            <w:tcW w:w="928" w:type="dxa"/>
            <w:vAlign w:val="center"/>
          </w:tcPr>
          <w:p w14:paraId="36AC0514">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武汉久安药业有限公司</w:t>
            </w:r>
          </w:p>
        </w:tc>
        <w:tc>
          <w:tcPr>
            <w:tcW w:w="1256" w:type="dxa"/>
            <w:vAlign w:val="center"/>
          </w:tcPr>
          <w:p w14:paraId="78198A2E">
            <w:pPr>
              <w:keepNext w:val="0"/>
              <w:keepLines w:val="0"/>
              <w:widowControl/>
              <w:suppressLineNumbers w:val="0"/>
              <w:ind w:left="0" w:leftChars="0" w:firstLine="0" w:firstLineChars="0"/>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60</w:t>
            </w:r>
          </w:p>
        </w:tc>
        <w:tc>
          <w:tcPr>
            <w:tcW w:w="1500" w:type="dxa"/>
            <w:vAlign w:val="center"/>
          </w:tcPr>
          <w:p w14:paraId="1A10CF04">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复方药物固态调控关键技术及产业化</w:t>
            </w:r>
          </w:p>
        </w:tc>
        <w:tc>
          <w:tcPr>
            <w:tcW w:w="2870" w:type="dxa"/>
            <w:gridSpan w:val="2"/>
            <w:vAlign w:val="center"/>
          </w:tcPr>
          <w:p w14:paraId="315968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药物固态调控技术属当今国际医药领域开发前沿的药物制剂技术，是解决药物成药性的关键技术之一，然而目前药物制剂的开发应用多局限于单一药物的盐型和多晶型，部分产品基于药物与辅料的固体分散体，复方药物固态设计技术多数集中在药物共晶，国内受制于技术开发设计难点，尚无相关产品上市。</w:t>
            </w:r>
          </w:p>
        </w:tc>
        <w:tc>
          <w:tcPr>
            <w:tcW w:w="2887" w:type="dxa"/>
            <w:vAlign w:val="center"/>
          </w:tcPr>
          <w:p w14:paraId="2A23E2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研究不含亚硫酸盐的复方氨基酸新配方，同时去除亚硫酸盐类抗氧剂；通过技术手段加快难溶性氨基酸的溶解速度，减少氧敏氨基酸和温敏氨基酸在配制过程中的暴露时间，提高产品的稳定性和安全性；通过热敏氨基酸保护技术进行工艺控制，使高温降解杂质控制水平及易氧化杂质处于国际领先水平。</w:t>
            </w:r>
          </w:p>
        </w:tc>
        <w:tc>
          <w:tcPr>
            <w:tcW w:w="4321" w:type="dxa"/>
            <w:vAlign w:val="center"/>
          </w:tcPr>
          <w:p w14:paraId="3BF26B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1.处方组成：处方中仅含活性成分、溶剂以及pH调节剂，不含亚硫酸盐；</w:t>
            </w:r>
          </w:p>
          <w:p w14:paraId="105CA77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2.生产工艺：耐受过渡杀灭法灭菌（121℃，12min,F0≥12）；</w:t>
            </w:r>
          </w:p>
          <w:p w14:paraId="52DC06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3.质量控制：符合企业注册标准，并优于国家法定标准；</w:t>
            </w:r>
          </w:p>
          <w:p w14:paraId="597804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4.稳定性：产品在常温或阴凉条件下维持24个月有效期。</w:t>
            </w:r>
          </w:p>
        </w:tc>
      </w:tr>
      <w:tr w14:paraId="3B5E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594" w:type="dxa"/>
            <w:vAlign w:val="center"/>
          </w:tcPr>
          <w:p w14:paraId="2481A197">
            <w:pPr>
              <w:keepNext w:val="0"/>
              <w:keepLines w:val="0"/>
              <w:widowControl/>
              <w:suppressLineNumbers w:val="0"/>
              <w:ind w:left="0" w:leftChars="0" w:firstLine="0" w:firstLineChars="0"/>
              <w:jc w:val="center"/>
              <w:textAlignment w:val="center"/>
              <w:rPr>
                <w:rFonts w:hint="eastAsia" w:ascii="仿宋" w:hAnsi="仿宋" w:eastAsia="仿宋" w:cs="仿宋"/>
                <w:color w:val="0000FF"/>
                <w:sz w:val="21"/>
                <w:szCs w:val="21"/>
                <w:vertAlign w:val="baseline"/>
                <w:lang w:val="en-US" w:eastAsia="zh-CN"/>
              </w:rPr>
            </w:pPr>
            <w:r>
              <w:rPr>
                <w:rFonts w:hint="eastAsia" w:ascii="仿宋" w:hAnsi="仿宋" w:eastAsia="仿宋" w:cs="仿宋"/>
                <w:b w:val="0"/>
                <w:bCs w:val="0"/>
                <w:i w:val="0"/>
                <w:iCs w:val="0"/>
                <w:color w:val="000000" w:themeColor="text1"/>
                <w:kern w:val="0"/>
                <w:sz w:val="21"/>
                <w:szCs w:val="21"/>
                <w:u w:val="none"/>
                <w:lang w:val="en-US" w:eastAsia="zh-CN" w:bidi="ar"/>
                <w14:textFill>
                  <w14:solidFill>
                    <w14:schemeClr w14:val="tx1"/>
                  </w14:solidFill>
                </w14:textFill>
              </w:rPr>
              <w:t>5</w:t>
            </w:r>
          </w:p>
        </w:tc>
        <w:tc>
          <w:tcPr>
            <w:tcW w:w="928" w:type="dxa"/>
            <w:vAlign w:val="center"/>
          </w:tcPr>
          <w:p w14:paraId="1853E2A4">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罗根激光科技（武汉）有限公司</w:t>
            </w:r>
          </w:p>
        </w:tc>
        <w:tc>
          <w:tcPr>
            <w:tcW w:w="1256" w:type="dxa"/>
            <w:vAlign w:val="center"/>
          </w:tcPr>
          <w:p w14:paraId="7DBA596E">
            <w:pPr>
              <w:keepNext w:val="0"/>
              <w:keepLines w:val="0"/>
              <w:widowControl/>
              <w:suppressLineNumbers w:val="0"/>
              <w:ind w:left="0" w:leftChars="0" w:firstLine="0" w:firstLineChars="0"/>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100</w:t>
            </w:r>
          </w:p>
        </w:tc>
        <w:tc>
          <w:tcPr>
            <w:tcW w:w="1500" w:type="dxa"/>
            <w:vAlign w:val="center"/>
          </w:tcPr>
          <w:p w14:paraId="3BCDBE98">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1mJ 再生放大飞秒激光器</w:t>
            </w:r>
          </w:p>
        </w:tc>
        <w:tc>
          <w:tcPr>
            <w:tcW w:w="2870" w:type="dxa"/>
            <w:gridSpan w:val="2"/>
            <w:vAlign w:val="center"/>
          </w:tcPr>
          <w:p w14:paraId="0A382D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为满足航空级高温合金材料精密微加工及先进玻璃基板加工对高能量、超短脉冲激光的迫切需求，需研制兼具高单脉冲能量与飞秒脉宽的稳定激光光源。</w:t>
            </w:r>
          </w:p>
        </w:tc>
        <w:tc>
          <w:tcPr>
            <w:tcW w:w="2887" w:type="dxa"/>
            <w:vAlign w:val="center"/>
          </w:tcPr>
          <w:p w14:paraId="02A15A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主要研究高稳定性飞秒振荡器、高效率再生放大器及精确色散管理技术，实现激光脉冲的能量放大与脉宽压缩，最终完成系统集成与性能测试。</w:t>
            </w:r>
          </w:p>
        </w:tc>
        <w:tc>
          <w:tcPr>
            <w:tcW w:w="4321" w:type="dxa"/>
            <w:vAlign w:val="center"/>
          </w:tcPr>
          <w:p w14:paraId="163462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功率＞20W，单脉冲能量＞1mJ，脉宽＜200fs，光束质量M²＜1.3，光斑圆度＞90%。</w:t>
            </w:r>
          </w:p>
        </w:tc>
      </w:tr>
      <w:tr w14:paraId="1DB3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594" w:type="dxa"/>
            <w:vAlign w:val="center"/>
          </w:tcPr>
          <w:p w14:paraId="495EACFC">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6</w:t>
            </w:r>
          </w:p>
        </w:tc>
        <w:tc>
          <w:tcPr>
            <w:tcW w:w="928" w:type="dxa"/>
            <w:vAlign w:val="center"/>
          </w:tcPr>
          <w:p w14:paraId="3791A032">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武汉铁盾民防工程有限公司</w:t>
            </w:r>
          </w:p>
        </w:tc>
        <w:tc>
          <w:tcPr>
            <w:tcW w:w="1256" w:type="dxa"/>
            <w:vAlign w:val="center"/>
          </w:tcPr>
          <w:p w14:paraId="1FC9DE48">
            <w:pPr>
              <w:keepNext w:val="0"/>
              <w:keepLines w:val="0"/>
              <w:widowControl/>
              <w:suppressLineNumbers w:val="0"/>
              <w:ind w:left="0" w:leftChars="0" w:firstLine="0" w:firstLineChars="0"/>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100</w:t>
            </w:r>
          </w:p>
        </w:tc>
        <w:tc>
          <w:tcPr>
            <w:tcW w:w="1500" w:type="dxa"/>
            <w:vAlign w:val="center"/>
          </w:tcPr>
          <w:p w14:paraId="61BE4675">
            <w:pPr>
              <w:keepNext w:val="0"/>
              <w:keepLines w:val="0"/>
              <w:widowControl/>
              <w:suppressLineNumbers w:val="0"/>
              <w:ind w:left="0" w:leftChars="0" w:firstLine="0" w:firstLineChars="0"/>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TD-8500长航时多用途无人机</w:t>
            </w:r>
          </w:p>
        </w:tc>
        <w:tc>
          <w:tcPr>
            <w:tcW w:w="2870" w:type="dxa"/>
            <w:gridSpan w:val="2"/>
            <w:vAlign w:val="center"/>
          </w:tcPr>
          <w:p w14:paraId="34E967E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面向国防边境巡逻、海上执法、应急救援和能源巡检等复杂任务场景，当前国内缺乏兼具长航时、大载荷和高环境适应性的一体化无人机平台，亟需自主可控的中大型多用途无人机装备。</w:t>
            </w:r>
          </w:p>
        </w:tc>
        <w:tc>
          <w:tcPr>
            <w:tcW w:w="2887" w:type="dxa"/>
            <w:vAlign w:val="center"/>
          </w:tcPr>
          <w:p w14:paraId="4193C1AC">
            <w:pPr>
              <w:keepNext w:val="0"/>
              <w:keepLines w:val="0"/>
              <w:widowControl/>
              <w:suppressLineNumbers w:val="0"/>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开展气动布局优化、重油动力系统高原适配、飞控与任务管理系统智能化、自主导航与安全控制技术、模块化任务挂载接口等系统集成研发，实现长航时、多场景适应能力的工程化应用。</w:t>
            </w:r>
          </w:p>
        </w:tc>
        <w:tc>
          <w:tcPr>
            <w:tcW w:w="4321" w:type="dxa"/>
            <w:vAlign w:val="center"/>
          </w:tcPr>
          <w:p w14:paraId="10F75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续航≥16小时，最大航程≥2500公里，任务载荷能力≥120公斤，实用升限≥5500米；支持一键起降、全自主飞行和任务动态切换，模块化挂载30分钟内完成更换，满足全天候任务执行需求。</w:t>
            </w:r>
          </w:p>
        </w:tc>
      </w:tr>
      <w:tr w14:paraId="176A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trPr>
        <w:tc>
          <w:tcPr>
            <w:tcW w:w="594" w:type="dxa"/>
            <w:vAlign w:val="center"/>
          </w:tcPr>
          <w:p w14:paraId="69FC4251">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7</w:t>
            </w:r>
          </w:p>
        </w:tc>
        <w:tc>
          <w:tcPr>
            <w:tcW w:w="928" w:type="dxa"/>
            <w:vAlign w:val="center"/>
          </w:tcPr>
          <w:p w14:paraId="7A417C94">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中科开浦生物科技（湖北）有限公司</w:t>
            </w:r>
          </w:p>
        </w:tc>
        <w:tc>
          <w:tcPr>
            <w:tcW w:w="1256" w:type="dxa"/>
            <w:vAlign w:val="center"/>
          </w:tcPr>
          <w:p w14:paraId="5484089C">
            <w:pPr>
              <w:keepNext w:val="0"/>
              <w:keepLines w:val="0"/>
              <w:widowControl/>
              <w:suppressLineNumbers w:val="0"/>
              <w:ind w:left="0" w:leftChars="0" w:firstLine="0" w:firstLineChars="0"/>
              <w:jc w:val="center"/>
              <w:textAlignment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100</w:t>
            </w:r>
          </w:p>
        </w:tc>
        <w:tc>
          <w:tcPr>
            <w:tcW w:w="1500" w:type="dxa"/>
            <w:vAlign w:val="center"/>
          </w:tcPr>
          <w:p w14:paraId="66EC1B03">
            <w:pPr>
              <w:keepNext w:val="0"/>
              <w:keepLines w:val="0"/>
              <w:widowControl/>
              <w:suppressLineNumbers w:val="0"/>
              <w:ind w:left="0" w:leftChars="0" w:firstLine="0" w:firstLineChars="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传染性病原药效学高效验证平台—从实验室到临床的快速通道</w:t>
            </w:r>
          </w:p>
        </w:tc>
        <w:tc>
          <w:tcPr>
            <w:tcW w:w="2870" w:type="dxa"/>
            <w:gridSpan w:val="2"/>
            <w:vAlign w:val="center"/>
          </w:tcPr>
          <w:p w14:paraId="7E1CF2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当前传染性病原药效学评价面临模型缺失、流程繁杂、数据不可溯源、合规性不足等痛点，导致研发周期长、成本高、成功率低。市场缺乏覆盖BSL-2至BSL-4全链条、标准化、智能化的临床前评价平台，亟需构建高效、合规、可溯源的药效学验证体系，支撑疫苗与抗病毒药物快速研发。</w:t>
            </w:r>
          </w:p>
        </w:tc>
        <w:tc>
          <w:tcPr>
            <w:tcW w:w="2887" w:type="dxa"/>
            <w:vAlign w:val="center"/>
          </w:tcPr>
          <w:p w14:paraId="3B5BA3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构建一站式传染性病原药效学评价平台，整合2000+菌毒种资源与50+成熟感染动物模型，开发智能化实验设计与数据管理系统，实现从病原鉴定、模型构建到药效评价的全流程数字化管理。重点开展细胞与动物水平的标准化药效测试，支持IND申报，提升评价效率与数据可靠性。</w:t>
            </w:r>
          </w:p>
        </w:tc>
        <w:tc>
          <w:tcPr>
            <w:tcW w:w="4321" w:type="dxa"/>
            <w:vAlign w:val="center"/>
          </w:tcPr>
          <w:p w14:paraId="74F8E1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1.菌毒种资源≥2000种，感染动物模型≥50种；</w:t>
            </w:r>
          </w:p>
          <w:p w14:paraId="1F7E71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2.模型验证周期＜4周；</w:t>
            </w:r>
          </w:p>
          <w:p w14:paraId="191A7B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3.数据复核效率30分钟/项目（自动化）；</w:t>
            </w:r>
          </w:p>
          <w:p w14:paraId="4F5ED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4.IND申报通过率100%（累计支持5个IND）；</w:t>
            </w:r>
          </w:p>
          <w:p w14:paraId="3A281D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5.通过CNAS/GLP/AAALAC认证体系。</w:t>
            </w:r>
          </w:p>
        </w:tc>
      </w:tr>
      <w:tr w14:paraId="23FD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594" w:type="dxa"/>
            <w:vAlign w:val="center"/>
          </w:tcPr>
          <w:p w14:paraId="61BD63EF">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8</w:t>
            </w:r>
          </w:p>
        </w:tc>
        <w:tc>
          <w:tcPr>
            <w:tcW w:w="928" w:type="dxa"/>
            <w:vAlign w:val="center"/>
          </w:tcPr>
          <w:p w14:paraId="57F48F1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武汉同力智能系统有限公司</w:t>
            </w:r>
          </w:p>
        </w:tc>
        <w:tc>
          <w:tcPr>
            <w:tcW w:w="1256" w:type="dxa"/>
            <w:vAlign w:val="center"/>
          </w:tcPr>
          <w:p w14:paraId="64AF7C3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182</w:t>
            </w:r>
          </w:p>
        </w:tc>
        <w:tc>
          <w:tcPr>
            <w:tcW w:w="1500" w:type="dxa"/>
            <w:vAlign w:val="center"/>
          </w:tcPr>
          <w:p w14:paraId="009054A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基于3D视觉精度传感6轴机械手自动调浆拆垛上料系统</w:t>
            </w:r>
          </w:p>
        </w:tc>
        <w:tc>
          <w:tcPr>
            <w:tcW w:w="2870" w:type="dxa"/>
            <w:gridSpan w:val="2"/>
            <w:vAlign w:val="center"/>
          </w:tcPr>
          <w:p w14:paraId="75C781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针对目前国内纺织浆纱工艺中，通过使用示教再现机器人路径的方法实现拆垛的技术，无法对未知、随机垛型及经运输后垛型松散变形、杂乱无章等应用场景完成自动化拆垛。为解决未知垛型精准拆垛需求并实现自主规划安全、高效全流程无人化抓取操作，以及粉尘污染及消防安全问题，设计基于3D视觉精度传感技术的拆垛方案 。</w:t>
            </w:r>
          </w:p>
        </w:tc>
        <w:tc>
          <w:tcPr>
            <w:tcW w:w="2887" w:type="dxa"/>
            <w:vAlign w:val="center"/>
          </w:tcPr>
          <w:p w14:paraId="3CF4F1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D视觉传感机械手集成高精度力/力矩传感+3D视觉空间精准感知，获取高精度点云数据，能实时重建料垛三维模型，精确识别容器/包装物的6自由度位姿。实现精准抓取。3D视觉传感具备抗环境光特性，能在复杂的车间光照条件下稳定工作，通过算法过滤粉尘、蒸汽等干扰。自适应抓取、柔顺放置、误差补偿。智能末端执行器（EOAT）,与MES、WMS及PLC、称重系统进行实时数据交互。</w:t>
            </w:r>
          </w:p>
        </w:tc>
        <w:tc>
          <w:tcPr>
            <w:tcW w:w="4321" w:type="dxa"/>
            <w:vAlign w:val="center"/>
          </w:tcPr>
          <w:p w14:paraId="24DE11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1、物理实物执行机器人</w:t>
            </w:r>
          </w:p>
          <w:p w14:paraId="190B1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①机器人上料系统单机拆袋能力为≥3袋/分；②拆袋残留≤5%； ③RGV运行速度≥10m/分，载重能力≥2T；</w:t>
            </w:r>
          </w:p>
          <w:p w14:paraId="6CC99F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2、视觉精度传感器</w:t>
            </w:r>
          </w:p>
          <w:p w14:paraId="53F28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①测量精度：深度精度（Z轴）±0.1mm/平面精度（XY轴）1m；②分辨率：4096*2160(4KUHD)，点云密度：100-500pts/㎡；③测量范围：0.5m-10m，FOV：110°（H）*100°（V）；④扫描速度：120-240+FPS；</w:t>
            </w:r>
          </w:p>
          <w:p w14:paraId="452CD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⑤多传感器融合能力：根据应用场景同步触发，数据融合；⑥点云质量：物体边缘清晰。</w:t>
            </w:r>
          </w:p>
        </w:tc>
      </w:tr>
      <w:tr w14:paraId="1948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594" w:type="dxa"/>
            <w:vAlign w:val="center"/>
          </w:tcPr>
          <w:p w14:paraId="74C6ED72">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9</w:t>
            </w:r>
          </w:p>
        </w:tc>
        <w:tc>
          <w:tcPr>
            <w:tcW w:w="928" w:type="dxa"/>
            <w:vAlign w:val="center"/>
          </w:tcPr>
          <w:p w14:paraId="7E8DE2C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湖北至正天辰生物科技有限公司</w:t>
            </w:r>
          </w:p>
        </w:tc>
        <w:tc>
          <w:tcPr>
            <w:tcW w:w="1256" w:type="dxa"/>
            <w:vAlign w:val="center"/>
          </w:tcPr>
          <w:p w14:paraId="6C8E89F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70</w:t>
            </w:r>
          </w:p>
        </w:tc>
        <w:tc>
          <w:tcPr>
            <w:tcW w:w="1500" w:type="dxa"/>
            <w:vAlign w:val="center"/>
          </w:tcPr>
          <w:p w14:paraId="0624F2A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水产绿色替抗工程--噬菌体/裂解酶协同增效生物制剂研发与产业化</w:t>
            </w:r>
          </w:p>
        </w:tc>
        <w:tc>
          <w:tcPr>
            <w:tcW w:w="2870" w:type="dxa"/>
            <w:gridSpan w:val="2"/>
            <w:vAlign w:val="center"/>
          </w:tcPr>
          <w:p w14:paraId="053920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产养殖面临细菌病害问题，传统抗生素易致耐药性与残留。国家推进兽用抗菌药减量和水产绿色养殖，湖北省也倡导相关发展方向。噬菌体具特异性强、无残留、不易让细菌耐药等优势，能精准防控病害。本项目据此开发相关制剂，契合国家与湖北绿色养殖战略，可破解行业难题，具迫切现实需求。</w:t>
            </w:r>
          </w:p>
        </w:tc>
        <w:tc>
          <w:tcPr>
            <w:tcW w:w="2887" w:type="dxa"/>
            <w:vAlign w:val="center"/>
          </w:tcPr>
          <w:p w14:paraId="3A9B8A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围绕 “噬菌体 / 裂解酶协同增效生物制剂”，分离鉴定水产致病菌并建菌株库，筛选表征广谱高效噬菌体，克隆表达纯化噬菌体裂解酶，研发复配工艺，搭建中试平台，制定投喂规程并推广产品。</w:t>
            </w:r>
          </w:p>
        </w:tc>
        <w:tc>
          <w:tcPr>
            <w:tcW w:w="4321" w:type="dxa"/>
            <w:vAlign w:val="center"/>
          </w:tcPr>
          <w:p w14:paraId="0A42C5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1.研发1株噬菌体配套发酵工艺；</w:t>
            </w:r>
          </w:p>
          <w:p w14:paraId="392E3D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2.完成噬菌体与裂解酶复配工艺及安全性评估；</w:t>
            </w:r>
          </w:p>
          <w:p w14:paraId="20651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3.实现3批次＞500L 中试生产；</w:t>
            </w:r>
          </w:p>
          <w:p w14:paraId="514F7F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4.建立加州鲈、鳜、南美白对虾投喂规程；</w:t>
            </w:r>
          </w:p>
          <w:p w14:paraId="62A7DF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5.产品无化学残留，耐药性风险极低，杀菌效率接近化学消毒剂。</w:t>
            </w:r>
          </w:p>
          <w:p w14:paraId="137354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bl>
    <w:p w14:paraId="3D0B6E6B">
      <w:pPr>
        <w:keepNext w:val="0"/>
        <w:keepLines w:val="0"/>
        <w:pageBreakBefore w:val="0"/>
        <w:kinsoku/>
        <w:wordWrap/>
        <w:overflowPunct/>
        <w:topLinePunct w:val="0"/>
        <w:bidi w:val="0"/>
        <w:snapToGrid/>
        <w:spacing w:line="560" w:lineRule="exact"/>
        <w:ind w:left="0" w:leftChars="0" w:firstLine="0" w:firstLineChars="0"/>
        <w:jc w:val="left"/>
        <w:textAlignment w:val="auto"/>
        <w:rPr>
          <w:rFonts w:hint="default" w:cs="宋体" w:asciiTheme="minorEastAsia" w:hAnsiTheme="minorEastAsia" w:eastAsiaTheme="minorEastAsia"/>
          <w:color w:val="000000"/>
          <w:kern w:val="0"/>
          <w:sz w:val="24"/>
          <w:lang w:val="en-US" w:eastAsia="zh-CN"/>
        </w:rPr>
      </w:pPr>
      <w:bookmarkStart w:id="0" w:name="_GoBack"/>
      <w:bookmarkEnd w:id="0"/>
    </w:p>
    <w:sectPr>
      <w:headerReference r:id="rId5" w:type="default"/>
      <w:footerReference r:id="rId6"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p>
  </w:endnote>
  <w:endnote w:type="continuationSeparator" w:id="1">
    <w:p>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BB5B7-7A27-43E6-A176-7C9B0F579D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1C9FE12-5FE9-46F4-8AA1-7CEFC0FAA3FE}"/>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文星楷体">
    <w:altName w:val="楷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ED44E49-A294-4BE2-8D58-88EA380568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E15D">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p>
  </w:footnote>
  <w:footnote w:type="continuationSeparator" w:id="1">
    <w:p>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A479">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OTA2ZWEyZjI1YWE2Y2E4ZTI4N2U3ZjY1Nzc2YzQifQ=="/>
  </w:docVars>
  <w:rsids>
    <w:rsidRoot w:val="00172A27"/>
    <w:rsid w:val="000D2466"/>
    <w:rsid w:val="001103CF"/>
    <w:rsid w:val="001F70DD"/>
    <w:rsid w:val="00232BC8"/>
    <w:rsid w:val="00255867"/>
    <w:rsid w:val="002A54C2"/>
    <w:rsid w:val="003B20CC"/>
    <w:rsid w:val="0040020F"/>
    <w:rsid w:val="004306D1"/>
    <w:rsid w:val="00492DB7"/>
    <w:rsid w:val="004B5BB6"/>
    <w:rsid w:val="004C37F0"/>
    <w:rsid w:val="005213EA"/>
    <w:rsid w:val="00671D07"/>
    <w:rsid w:val="006E5E38"/>
    <w:rsid w:val="009A711B"/>
    <w:rsid w:val="009B6778"/>
    <w:rsid w:val="009D4D7F"/>
    <w:rsid w:val="009D5641"/>
    <w:rsid w:val="00A074E1"/>
    <w:rsid w:val="00AE4F8E"/>
    <w:rsid w:val="00C119CC"/>
    <w:rsid w:val="00C34E21"/>
    <w:rsid w:val="00C40E1C"/>
    <w:rsid w:val="00CC782B"/>
    <w:rsid w:val="00D055EB"/>
    <w:rsid w:val="00E02BDF"/>
    <w:rsid w:val="00E144B7"/>
    <w:rsid w:val="00E86E5E"/>
    <w:rsid w:val="00F107AD"/>
    <w:rsid w:val="00FE435B"/>
    <w:rsid w:val="0CC57E60"/>
    <w:rsid w:val="120D5E88"/>
    <w:rsid w:val="12765F33"/>
    <w:rsid w:val="14267ECA"/>
    <w:rsid w:val="146D70B2"/>
    <w:rsid w:val="1A5A3C35"/>
    <w:rsid w:val="1C5F24BD"/>
    <w:rsid w:val="1FA97BE3"/>
    <w:rsid w:val="22AB7C24"/>
    <w:rsid w:val="26176E7E"/>
    <w:rsid w:val="268723D3"/>
    <w:rsid w:val="27BA3F65"/>
    <w:rsid w:val="284E4491"/>
    <w:rsid w:val="2E901BEA"/>
    <w:rsid w:val="2F8C4439"/>
    <w:rsid w:val="2FA22AB9"/>
    <w:rsid w:val="30686DA2"/>
    <w:rsid w:val="3BD77430"/>
    <w:rsid w:val="44451C7D"/>
    <w:rsid w:val="48E015B6"/>
    <w:rsid w:val="493B7B23"/>
    <w:rsid w:val="495A6EFE"/>
    <w:rsid w:val="4C7A5E1F"/>
    <w:rsid w:val="4FD572DE"/>
    <w:rsid w:val="517A1D59"/>
    <w:rsid w:val="54B576DE"/>
    <w:rsid w:val="54F40207"/>
    <w:rsid w:val="55EB681A"/>
    <w:rsid w:val="58A244FD"/>
    <w:rsid w:val="5B0608E3"/>
    <w:rsid w:val="5F667F53"/>
    <w:rsid w:val="5FEE26F2"/>
    <w:rsid w:val="60B05D6E"/>
    <w:rsid w:val="65CD5E0F"/>
    <w:rsid w:val="66F65F64"/>
    <w:rsid w:val="6B014BA4"/>
    <w:rsid w:val="6B655563"/>
    <w:rsid w:val="712F545B"/>
    <w:rsid w:val="738D476C"/>
    <w:rsid w:val="7645146A"/>
    <w:rsid w:val="777C610E"/>
    <w:rsid w:val="7992025D"/>
    <w:rsid w:val="7CBD16E7"/>
    <w:rsid w:val="7FA1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黑体" w:cs="Times New Roman"/>
      <w:b/>
      <w:kern w:val="44"/>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endnote text"/>
    <w:basedOn w:val="1"/>
    <w:qFormat/>
    <w:uiPriority w:val="0"/>
    <w:rPr>
      <w:rFonts w:asciiTheme="minorHAnsi" w:hAnsiTheme="minorHAnsi" w:eastAsiaTheme="minorEastAsia" w:cstheme="minorBidi"/>
      <w:sz w:val="21"/>
      <w:szCs w:val="22"/>
    </w:r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7"/>
    <w:qFormat/>
    <w:uiPriority w:val="0"/>
    <w:pPr>
      <w:spacing w:before="240" w:after="60"/>
      <w:jc w:val="center"/>
      <w:outlineLvl w:val="0"/>
    </w:pPr>
    <w:rPr>
      <w:rFonts w:eastAsia="方正小标宋_GBK" w:asciiTheme="majorHAnsi" w:hAnsiTheme="majorHAnsi" w:cstheme="majorBidi"/>
      <w:b/>
      <w:bCs/>
      <w:sz w:val="36"/>
      <w:szCs w:val="32"/>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pPr>
  </w:style>
  <w:style w:type="character" w:customStyle="1" w:styleId="15">
    <w:name w:val="标题 2 字符"/>
    <w:basedOn w:val="12"/>
    <w:link w:val="3"/>
    <w:qFormat/>
    <w:uiPriority w:val="0"/>
    <w:rPr>
      <w:rFonts w:eastAsia="仿宋_GB2312" w:asciiTheme="majorHAnsi" w:hAnsiTheme="majorHAnsi" w:cstheme="majorBidi"/>
      <w:b/>
      <w:bCs/>
      <w:kern w:val="2"/>
      <w:sz w:val="32"/>
      <w:szCs w:val="32"/>
    </w:rPr>
  </w:style>
  <w:style w:type="paragraph" w:customStyle="1" w:styleId="16">
    <w:name w:val="paragraph"/>
    <w:basedOn w:val="1"/>
    <w:semiHidden/>
    <w:qFormat/>
    <w:uiPriority w:val="0"/>
    <w:pPr>
      <w:widowControl/>
      <w:spacing w:before="100" w:beforeAutospacing="1" w:after="100" w:afterAutospacing="1"/>
      <w:ind w:firstLine="0" w:firstLineChars="0"/>
      <w:jc w:val="left"/>
    </w:pPr>
    <w:rPr>
      <w:rFonts w:ascii="等线" w:hAnsi="等线" w:eastAsia="等线" w:cs="Times New Roman"/>
      <w:kern w:val="0"/>
      <w:sz w:val="24"/>
    </w:rPr>
  </w:style>
  <w:style w:type="character" w:customStyle="1" w:styleId="17">
    <w:name w:val="标题 字符"/>
    <w:basedOn w:val="12"/>
    <w:link w:val="9"/>
    <w:qFormat/>
    <w:uiPriority w:val="0"/>
    <w:rPr>
      <w:rFonts w:eastAsia="方正小标宋_GBK" w:asciiTheme="majorHAnsi" w:hAnsiTheme="majorHAnsi" w:cstheme="majorBidi"/>
      <w:b/>
      <w:bCs/>
      <w:kern w:val="2"/>
      <w:sz w:val="36"/>
      <w:szCs w:val="32"/>
    </w:rPr>
  </w:style>
  <w:style w:type="character" w:customStyle="1" w:styleId="18">
    <w:name w:val="批注框文本 字符"/>
    <w:basedOn w:val="12"/>
    <w:link w:val="5"/>
    <w:qFormat/>
    <w:uiPriority w:val="0"/>
    <w:rPr>
      <w:rFonts w:eastAsia="仿宋_GB2312" w:asciiTheme="minorHAnsi" w:hAnsiTheme="minorHAnsi" w:cstheme="minorBidi"/>
      <w:kern w:val="2"/>
      <w:sz w:val="18"/>
      <w:szCs w:val="18"/>
    </w:rPr>
  </w:style>
  <w:style w:type="character" w:customStyle="1" w:styleId="19">
    <w:name w:val="页眉 字符"/>
    <w:basedOn w:val="12"/>
    <w:link w:val="7"/>
    <w:qFormat/>
    <w:uiPriority w:val="0"/>
    <w:rPr>
      <w:rFonts w:eastAsia="仿宋_GB2312" w:asciiTheme="minorHAnsi" w:hAnsiTheme="minorHAnsi" w:cstheme="minorBidi"/>
      <w:kern w:val="2"/>
      <w:sz w:val="18"/>
      <w:szCs w:val="18"/>
    </w:rPr>
  </w:style>
  <w:style w:type="character" w:customStyle="1" w:styleId="20">
    <w:name w:val="页脚 字符"/>
    <w:basedOn w:val="12"/>
    <w:link w:val="6"/>
    <w:qFormat/>
    <w:uiPriority w:val="0"/>
    <w:rPr>
      <w:rFonts w:eastAsia="仿宋_GB2312" w:asciiTheme="minorHAnsi" w:hAnsiTheme="minorHAnsi" w:cstheme="minorBidi"/>
      <w:kern w:val="2"/>
      <w:sz w:val="18"/>
      <w:szCs w:val="18"/>
    </w:rPr>
  </w:style>
  <w:style w:type="character" w:customStyle="1" w:styleId="21">
    <w:name w:val="font81"/>
    <w:basedOn w:val="12"/>
    <w:qFormat/>
    <w:uiPriority w:val="0"/>
    <w:rPr>
      <w:rFonts w:hint="eastAsia" w:ascii="仿宋_GB2312" w:eastAsia="仿宋_GB2312" w:cs="仿宋_GB2312"/>
      <w:color w:val="000000"/>
      <w:sz w:val="28"/>
      <w:szCs w:val="28"/>
      <w:u w:val="none"/>
    </w:rPr>
  </w:style>
  <w:style w:type="character" w:customStyle="1" w:styleId="22">
    <w:name w:val="font111"/>
    <w:basedOn w:val="12"/>
    <w:qFormat/>
    <w:uiPriority w:val="0"/>
    <w:rPr>
      <w:rFonts w:hint="eastAsia" w:ascii="仿宋_GB2312" w:eastAsia="仿宋_GB2312" w:cs="仿宋_GB2312"/>
      <w:color w:val="000000"/>
      <w:sz w:val="24"/>
      <w:szCs w:val="24"/>
      <w:u w:val="none"/>
    </w:rPr>
  </w:style>
  <w:style w:type="character" w:customStyle="1" w:styleId="23">
    <w:name w:val="font51"/>
    <w:basedOn w:val="12"/>
    <w:qFormat/>
    <w:uiPriority w:val="0"/>
    <w:rPr>
      <w:rFonts w:hint="eastAsia" w:ascii="仿宋_GB2312" w:eastAsia="仿宋_GB2312" w:cs="仿宋_GB2312"/>
      <w:color w:val="000000"/>
      <w:sz w:val="24"/>
      <w:szCs w:val="24"/>
      <w:u w:val="none"/>
    </w:rPr>
  </w:style>
  <w:style w:type="character" w:customStyle="1" w:styleId="24">
    <w:name w:val="font122"/>
    <w:basedOn w:val="12"/>
    <w:qFormat/>
    <w:uiPriority w:val="0"/>
    <w:rPr>
      <w:rFonts w:ascii="Arial" w:hAnsi="Arial" w:cs="Arial"/>
      <w:color w:val="000000"/>
      <w:sz w:val="28"/>
      <w:szCs w:val="28"/>
      <w:u w:val="none"/>
    </w:rPr>
  </w:style>
  <w:style w:type="character" w:customStyle="1" w:styleId="25">
    <w:name w:val="font41"/>
    <w:basedOn w:val="12"/>
    <w:qFormat/>
    <w:uiPriority w:val="0"/>
    <w:rPr>
      <w:rFonts w:hint="eastAsia" w:ascii="仿宋_GB2312" w:eastAsia="仿宋_GB2312" w:cs="仿宋_GB2312"/>
      <w:color w:val="000000"/>
      <w:sz w:val="28"/>
      <w:szCs w:val="28"/>
      <w:u w:val="none"/>
    </w:rPr>
  </w:style>
  <w:style w:type="character" w:customStyle="1" w:styleId="26">
    <w:name w:val="font131"/>
    <w:basedOn w:val="12"/>
    <w:qFormat/>
    <w:uiPriority w:val="0"/>
    <w:rPr>
      <w:rFonts w:hint="eastAsia" w:ascii="仿宋_GB2312" w:eastAsia="仿宋_GB2312" w:cs="仿宋_GB2312"/>
      <w:color w:val="000000"/>
      <w:sz w:val="28"/>
      <w:szCs w:val="28"/>
      <w:u w:val="none"/>
      <w:vertAlign w:val="superscript"/>
    </w:rPr>
  </w:style>
  <w:style w:type="character" w:customStyle="1" w:styleId="27">
    <w:name w:val="font141"/>
    <w:basedOn w:val="12"/>
    <w:qFormat/>
    <w:uiPriority w:val="0"/>
    <w:rPr>
      <w:rFonts w:ascii="Wingdings 2" w:hAnsi="Wingdings 2" w:eastAsia="Wingdings 2" w:cs="Wingdings 2"/>
      <w:color w:val="000000"/>
      <w:sz w:val="28"/>
      <w:szCs w:val="28"/>
      <w:u w:val="none"/>
    </w:rPr>
  </w:style>
  <w:style w:type="character" w:customStyle="1" w:styleId="28">
    <w:name w:val="font151"/>
    <w:basedOn w:val="12"/>
    <w:qFormat/>
    <w:uiPriority w:val="0"/>
    <w:rPr>
      <w:rFonts w:hint="eastAsia" w:ascii="等线" w:hAnsi="等线" w:eastAsia="等线" w:cs="等线"/>
      <w:color w:val="000000"/>
      <w:sz w:val="28"/>
      <w:szCs w:val="28"/>
      <w:u w:val="none"/>
    </w:rPr>
  </w:style>
  <w:style w:type="character" w:customStyle="1" w:styleId="29">
    <w:name w:val="font101"/>
    <w:basedOn w:val="12"/>
    <w:qFormat/>
    <w:uiPriority w:val="0"/>
    <w:rPr>
      <w:rFonts w:hint="eastAsia" w:ascii="仿宋_GB2312" w:eastAsia="仿宋_GB2312" w:cs="仿宋_GB2312"/>
      <w:color w:val="000000"/>
      <w:sz w:val="28"/>
      <w:szCs w:val="28"/>
      <w:u w:val="none"/>
    </w:rPr>
  </w:style>
  <w:style w:type="paragraph" w:customStyle="1" w:styleId="30">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4612</Words>
  <Characters>4960</Characters>
  <Lines>23</Lines>
  <Paragraphs>6</Paragraphs>
  <TotalTime>151</TotalTime>
  <ScaleCrop>false</ScaleCrop>
  <LinksUpToDate>false</LinksUpToDate>
  <CharactersWithSpaces>5126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2024-08-13T01:17:00Z</dcterms:created>
  <dc:creator>Administrator</dc:creator>
  <cp:lastModifiedBy>阿包</cp:lastModifiedBy>
  <dcterms:modified xsi:type="dcterms:W3CDTF">2025-11-17T07:10:50Z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5AB7496ACB3544A0AE492A223990C3B5_13</vt:lpwstr>
  </property>
  <property fmtid="{D5CDD505-2E9C-101B-9397-08002B2CF9AE}" pid="4" name="KSOTemplateDocerSaveRecord">
    <vt:lpwstr>eyJoZGlkIjoiNjBhOTA2ZWEyZjI1YWE2Y2E4ZTI4N2U3ZjY1Nzc2YzQiLCJ1c2VySWQiOiIyMzkwNjU1MTQifQ==</vt:lpwstr>
  </property>
</Properties>
</file>